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2C2" w:rsidRDefault="002F46D2">
      <w:pPr>
        <w:spacing w:line="240" w:lineRule="auto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Zał. nr 5 do ZW 25/2019 </w:t>
      </w:r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B72C2"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 xml:space="preserve">FACULTY  OF COMPUTER SCIENCE AND MANAGEMENT </w:t>
            </w:r>
          </w:p>
          <w:p w:rsidR="008B72C2" w:rsidRDefault="008B72C2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8B72C2" w:rsidRDefault="002F46D2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8B72C2" w:rsidRDefault="002F46D2">
            <w:pPr>
              <w:spacing w:after="0" w:line="240" w:lineRule="auto"/>
              <w:ind w:left="560" w:hanging="560"/>
              <w:outlineLvl w:val="1"/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Name of subject in Polish                  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Podstawy</w:t>
            </w:r>
            <w:proofErr w:type="spellEnd"/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Internetu</w:t>
            </w:r>
            <w:proofErr w:type="spellEnd"/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Rzeczy</w:t>
            </w:r>
            <w:proofErr w:type="spellEnd"/>
          </w:p>
          <w:p w:rsidR="008B72C2" w:rsidRDefault="002F46D2">
            <w:pPr>
              <w:spacing w:after="0" w:line="240" w:lineRule="auto"/>
              <w:ind w:left="560" w:hanging="560"/>
              <w:outlineLvl w:val="1"/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Name of subject in English                 Introduction to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IoT</w:t>
            </w:r>
            <w:proofErr w:type="spellEnd"/>
          </w:p>
          <w:p w:rsidR="008B72C2" w:rsidRDefault="002F46D2">
            <w:pPr>
              <w:spacing w:after="0" w:line="240" w:lineRule="auto"/>
              <w:ind w:left="560" w:hanging="560"/>
              <w:outlineLvl w:val="1"/>
            </w:pPr>
            <w:r>
              <w:rPr>
                <w:rFonts w:eastAsia="Times New Roman"/>
                <w:b/>
                <w:bCs/>
                <w:lang w:val="en-US" w:eastAsia="pl-PL"/>
              </w:rPr>
              <w:t>Main field of study (if applicable):    Applied Computer Science</w:t>
            </w:r>
          </w:p>
          <w:p w:rsidR="008B72C2" w:rsidRDefault="002F46D2">
            <w:pPr>
              <w:spacing w:after="0" w:line="240" w:lineRule="auto"/>
              <w:ind w:left="560" w:hanging="560"/>
              <w:outlineLvl w:val="1"/>
            </w:pPr>
            <w:r>
              <w:rPr>
                <w:rFonts w:eastAsia="Times New Roman"/>
                <w:b/>
                <w:bCs/>
                <w:lang w:val="en-US" w:eastAsia="pl-PL"/>
              </w:rPr>
              <w:t>Specialization (if applicable): -</w:t>
            </w:r>
          </w:p>
          <w:p w:rsidR="008B72C2" w:rsidRDefault="002F46D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8B72C2" w:rsidRDefault="002F46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2nd level, uniform magister studies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*, full-time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part-time studies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8B72C2" w:rsidRDefault="002F46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optional / university-wide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8B72C2" w:rsidRDefault="002F46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0F3B12" w:rsidRPr="000F3B12">
              <w:rPr>
                <w:b/>
                <w:color w:val="auto"/>
              </w:rPr>
              <w:t>INZ0020</w:t>
            </w:r>
            <w:r w:rsidR="00176ECE">
              <w:rPr>
                <w:b/>
                <w:color w:val="auto"/>
              </w:rPr>
              <w:t>27</w:t>
            </w:r>
            <w:bookmarkStart w:id="0" w:name="_GoBack"/>
            <w:bookmarkEnd w:id="0"/>
          </w:p>
          <w:p w:rsidR="008B72C2" w:rsidRDefault="002F46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8B72C2" w:rsidRDefault="008B72C2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9"/>
        <w:gridCol w:w="1437"/>
        <w:gridCol w:w="1438"/>
        <w:gridCol w:w="1442"/>
        <w:gridCol w:w="1437"/>
        <w:gridCol w:w="1432"/>
      </w:tblGrid>
      <w:tr w:rsidR="008B72C2">
        <w:tc>
          <w:tcPr>
            <w:tcW w:w="20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8B72C2">
        <w:tc>
          <w:tcPr>
            <w:tcW w:w="20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4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B72C2">
        <w:tc>
          <w:tcPr>
            <w:tcW w:w="20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</w:pPr>
            <w:r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14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</w:pPr>
            <w:r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B72C2">
        <w:tc>
          <w:tcPr>
            <w:tcW w:w="20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14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/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/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/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8B72C2">
        <w:tc>
          <w:tcPr>
            <w:tcW w:w="20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For group of courses mark final course with (X) 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B72C2">
        <w:tc>
          <w:tcPr>
            <w:tcW w:w="20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B72C2">
        <w:tc>
          <w:tcPr>
            <w:tcW w:w="20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B72C2">
        <w:tc>
          <w:tcPr>
            <w:tcW w:w="20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4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8B72C2" w:rsidRDefault="002F46D2">
      <w:pPr>
        <w:spacing w:line="240" w:lineRule="auto"/>
        <w:rPr>
          <w:rFonts w:eastAsia="Times New Roman"/>
          <w:lang w:eastAsia="pl-PL"/>
        </w:rPr>
      </w:pPr>
      <w:r>
        <w:rPr>
          <w:rFonts w:eastAsia="Times New Roman"/>
          <w:sz w:val="12"/>
          <w:lang w:eastAsia="pl-PL"/>
        </w:rPr>
        <w:t>*</w:t>
      </w:r>
      <w:proofErr w:type="spellStart"/>
      <w:r>
        <w:rPr>
          <w:rFonts w:eastAsia="Times New Roman"/>
          <w:sz w:val="12"/>
          <w:lang w:eastAsia="pl-PL"/>
        </w:rPr>
        <w:t>delete</w:t>
      </w:r>
      <w:proofErr w:type="spellEnd"/>
      <w:r>
        <w:rPr>
          <w:rFonts w:eastAsia="Times New Roman"/>
          <w:sz w:val="12"/>
          <w:lang w:eastAsia="pl-PL"/>
        </w:rPr>
        <w:t xml:space="preserve"> as </w:t>
      </w:r>
      <w:proofErr w:type="spellStart"/>
      <w:r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B72C2"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8B72C2" w:rsidRDefault="002F46D2">
            <w:pPr>
              <w:spacing w:after="0" w:line="240" w:lineRule="auto"/>
              <w:ind w:left="283"/>
            </w:pPr>
            <w:r>
              <w:rPr>
                <w:rFonts w:eastAsia="Times New Roman"/>
                <w:lang w:val="en-US" w:eastAsia="pl-PL"/>
              </w:rPr>
              <w:t>The following academic courses are passed or the equivalent to them knowledge and skills are possessed:</w:t>
            </w:r>
          </w:p>
          <w:p w:rsidR="008B72C2" w:rsidRDefault="002F46D2">
            <w:pPr>
              <w:spacing w:after="0" w:line="240" w:lineRule="auto"/>
              <w:ind w:left="283"/>
            </w:pPr>
            <w:r>
              <w:rPr>
                <w:rFonts w:eastAsia="Times New Roman"/>
                <w:lang w:val="en-US" w:eastAsia="pl-PL"/>
              </w:rPr>
              <w:t>1. Structural and Object Oriented Programming,</w:t>
            </w:r>
          </w:p>
          <w:p w:rsidR="008B72C2" w:rsidRDefault="002F46D2">
            <w:pPr>
              <w:spacing w:after="0" w:line="240" w:lineRule="auto"/>
              <w:ind w:left="283"/>
            </w:pPr>
            <w:r>
              <w:rPr>
                <w:rFonts w:eastAsia="Times New Roman"/>
                <w:lang w:val="en-US" w:eastAsia="pl-PL"/>
              </w:rPr>
              <w:t>2. Computer Architecture,</w:t>
            </w:r>
          </w:p>
          <w:p w:rsidR="008B72C2" w:rsidRDefault="002F46D2">
            <w:pPr>
              <w:spacing w:after="0" w:line="240" w:lineRule="auto"/>
              <w:ind w:left="283"/>
            </w:pPr>
            <w:r>
              <w:rPr>
                <w:rFonts w:eastAsia="Times New Roman"/>
                <w:lang w:val="en-US" w:eastAsia="pl-PL"/>
              </w:rPr>
              <w:t>3. Computer Networks.</w:t>
            </w:r>
          </w:p>
        </w:tc>
      </w:tr>
    </w:tbl>
    <w:p w:rsidR="008B72C2" w:rsidRDefault="002F46D2">
      <w:pPr>
        <w:spacing w:line="240" w:lineRule="auto"/>
        <w:rPr>
          <w:rFonts w:eastAsia="Times New Roman"/>
          <w:lang w:eastAsia="pl-PL"/>
        </w:rPr>
      </w:pPr>
      <w:r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8B72C2">
        <w:tc>
          <w:tcPr>
            <w:tcW w:w="92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3" w:name="table04"/>
            <w:bookmarkEnd w:id="3"/>
            <w:r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8B72C2" w:rsidRDefault="002F46D2">
            <w:pPr>
              <w:spacing w:after="0" w:line="240" w:lineRule="auto"/>
              <w:ind w:left="567" w:hanging="567"/>
            </w:pPr>
            <w:r>
              <w:rPr>
                <w:rFonts w:eastAsia="Times New Roman"/>
                <w:sz w:val="22"/>
                <w:lang w:val="en-US" w:eastAsia="pl-PL"/>
              </w:rPr>
              <w:t xml:space="preserve">C1. Acquiring basic knowledge about the theoretical foundations of the Internet of Things </w:t>
            </w:r>
            <w:r>
              <w:rPr>
                <w:rFonts w:eastAsia="Times New Roman"/>
                <w:sz w:val="22"/>
                <w:lang w:val="en-US" w:eastAsia="pl-PL"/>
              </w:rPr>
              <w:br/>
              <w:t>and programming devices functioning in it.</w:t>
            </w:r>
          </w:p>
          <w:p w:rsidR="008B72C2" w:rsidRDefault="002F46D2">
            <w:pPr>
              <w:spacing w:after="0" w:line="240" w:lineRule="auto"/>
              <w:ind w:left="567" w:hanging="567"/>
            </w:pPr>
            <w:r>
              <w:rPr>
                <w:rFonts w:eastAsia="Times New Roman"/>
                <w:sz w:val="22"/>
                <w:lang w:val="en-US" w:eastAsia="pl-PL"/>
              </w:rPr>
              <w:t>C2. Acquiring basic practical skills in the programming of Internet of Things devices.</w:t>
            </w:r>
          </w:p>
        </w:tc>
      </w:tr>
    </w:tbl>
    <w:p w:rsidR="008B72C2" w:rsidRDefault="002F46D2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  <w:r>
        <w:br w:type="page"/>
      </w:r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B72C2">
        <w:trPr>
          <w:trHeight w:val="958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pageBreakBefore/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LEARNING OUTCOMES</w:t>
            </w:r>
          </w:p>
          <w:p w:rsidR="008B72C2" w:rsidRDefault="002F46D2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>relating to knowledge a student:</w:t>
            </w:r>
          </w:p>
          <w:p w:rsidR="008B72C2" w:rsidRDefault="002F46D2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>PEK_W01 - a</w:t>
            </w:r>
            <w:r>
              <w:rPr>
                <w:rFonts w:eastAsia="Times New Roman"/>
                <w:sz w:val="22"/>
                <w:lang w:val="en-US" w:eastAsia="pl-PL"/>
              </w:rPr>
              <w:t>cquires basic knowledge about the theoretical foundations of the Internet of Things and programming devices functioning in it.</w:t>
            </w:r>
          </w:p>
          <w:p w:rsidR="008B72C2" w:rsidRDefault="008B72C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8B72C2" w:rsidRDefault="002F46D2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>relating to skills:</w:t>
            </w:r>
          </w:p>
          <w:p w:rsidR="008B72C2" w:rsidRDefault="002F46D2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>PEK_U01 - a</w:t>
            </w:r>
            <w:r>
              <w:rPr>
                <w:rFonts w:eastAsia="Times New Roman"/>
                <w:sz w:val="22"/>
                <w:lang w:val="en-US" w:eastAsia="pl-PL"/>
              </w:rPr>
              <w:t>cquires basic practical skills in the programming of Internet of Things devices.</w:t>
            </w:r>
          </w:p>
        </w:tc>
      </w:tr>
    </w:tbl>
    <w:p w:rsidR="008B72C2" w:rsidRDefault="008B72C2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0"/>
        <w:gridCol w:w="1131"/>
      </w:tblGrid>
      <w:tr w:rsidR="008B72C2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8B72C2">
        <w:trPr>
          <w:trHeight w:val="505"/>
        </w:trPr>
        <w:tc>
          <w:tcPr>
            <w:tcW w:w="80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  <w:proofErr w:type="spellEnd"/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Number</w:t>
            </w:r>
            <w:proofErr w:type="spellEnd"/>
            <w:r>
              <w:rPr>
                <w:b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Introduction to Internet of Things (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IoT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). 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Devices in Internet of Things: sensors, actuators, smart devices and embedded systems.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2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High-level languages in programming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IoT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devices and microcontrollers.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Introduction to programming of microcontrollers in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IoT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devices: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architecture, programming interfaces (JTAG, etc.), CPU, memory and access to memory.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3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Introduction to programming of microcontrollers in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IoT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devices: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events, system clock, power management, startup and boot modes, system control and reset, watchdog timer (WDT), interrupts and programmable interrupt controllers, I/O ports, timers,  real time counter (RTC).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Introduction to programming of microcontrollers in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IoT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devices: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cryptographic engine, cyclic redundancy check (CRC) generator, analog to digital converter (ADC), digital to analog converter (DAC), analog comparator, embedded sensors (temperature, etc.).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Input and output devices: LED and LCD displays, programmable RGB LEDs, buttons, keyboard, potentiometers and quadrature encoders, etc.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Sensors of light, motion, ultrasonic, temperature, humidity, real time clocks, etc.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Signaling elements and actuators: servomechanisms, relays, electronic switching circuits, etc.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Local communication interfaces and buses of Internet of Things devices: USB, UART, RS232, RS458, I2C, 1Wire, CAN, etc.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Wireless technologies for Internet of Things: Bluetooth, IEEE 802.15.4, IEEE 1901.2a, IEEE 802.11ah,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LoRaWAN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>, NB-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IoT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>, etc.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9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The IP protocol in the network layer of Internet of Things.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10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Architecture and design of Internet of Things.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11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Application protocols in Internet of Things.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12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Acquiring, storing and analyzing large amounts of data generated by Internet of Things devices.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13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Security and privacy in Internet of Things.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14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Internet of Things in practice - examples (part I).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rPr>
          <w:trHeight w:val="15"/>
        </w:trPr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15</w:t>
            </w: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Internet of Things in practice - examples (part II).</w:t>
            </w:r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</w:tbl>
    <w:p w:rsidR="008B72C2" w:rsidRDefault="008B72C2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p w:rsidR="008B72C2" w:rsidRDefault="002F46D2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  <w:r>
        <w:br w:type="page"/>
      </w:r>
    </w:p>
    <w:p w:rsidR="008B72C2" w:rsidRDefault="008B72C2">
      <w:pPr>
        <w:pStyle w:val="Tekstpodstawowy"/>
      </w:pPr>
    </w:p>
    <w:tbl>
      <w:tblPr>
        <w:tblW w:w="9210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"/>
        <w:gridCol w:w="7403"/>
        <w:gridCol w:w="1085"/>
      </w:tblGrid>
      <w:tr w:rsidR="008B72C2">
        <w:tc>
          <w:tcPr>
            <w:tcW w:w="81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Introduction to the laboratory. OSH training.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2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Introduction to Arduino programming.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3 - Lab6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Selected input and output devices.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Selected sensors, signaling and executive elements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Communication using selected communication interfaces.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4 x 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7 - Lab 8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Introduction to microcontroller programming in professional programming environments.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 x2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9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Communication using computer networks based on the IP protocol (part I).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10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Communication using computer networks based on the IP protocol (part II).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11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Communication using wireless technology.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12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Programming for Internet of Things - programming task (part I).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13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Programming for Internet of Things - programming task (part II).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14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Programming for Internet of Things - programming task (part III).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15</w:t>
            </w: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Presentation of the results of the programming task.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Final grading.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B72C2">
        <w:tc>
          <w:tcPr>
            <w:tcW w:w="7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bCs/>
                <w:lang w:eastAsia="pl-PL"/>
              </w:rPr>
              <w:t>30</w:t>
            </w:r>
          </w:p>
        </w:tc>
      </w:tr>
    </w:tbl>
    <w:p w:rsidR="008B72C2" w:rsidRDefault="008B72C2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p w:rsidR="008B72C2" w:rsidRDefault="008B72C2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p w:rsidR="008B72C2" w:rsidRDefault="008B72C2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B72C2">
        <w:trPr>
          <w:trHeight w:val="105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before="60" w:after="20" w:line="105" w:lineRule="atLeast"/>
              <w:jc w:val="center"/>
              <w:outlineLvl w:val="2"/>
            </w:pPr>
            <w:r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8B72C2">
        <w:trPr>
          <w:trHeight w:val="42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N1. Traditional lecture.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N2. Laboratories.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N3. Consultations for students.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N4. Own work - preparation for laboratories.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N5. Own work - learning of theoretical foundations.</w:t>
            </w:r>
          </w:p>
        </w:tc>
      </w:tr>
    </w:tbl>
    <w:p w:rsidR="008B72C2" w:rsidRDefault="002F46D2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  <w:r>
        <w:br w:type="page"/>
      </w:r>
    </w:p>
    <w:p w:rsidR="008B72C2" w:rsidRDefault="002F46D2">
      <w:pPr>
        <w:spacing w:line="240" w:lineRule="auto"/>
        <w:jc w:val="center"/>
      </w:pPr>
      <w:r>
        <w:rPr>
          <w:rFonts w:eastAsia="Times New Roman"/>
          <w:b/>
          <w:bCs/>
          <w:sz w:val="22"/>
          <w:lang w:val="en-US" w:eastAsia="pl-PL"/>
        </w:rPr>
        <w:lastRenderedPageBreak/>
        <w:t>EVALUATION OF SUBJECT LEARNING OUTCOMES ACHIEVEMENT</w:t>
      </w:r>
    </w:p>
    <w:tbl>
      <w:tblPr>
        <w:tblW w:w="928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8B72C2">
        <w:tc>
          <w:tcPr>
            <w:tcW w:w="2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Way of evaluating learning outcomes achievement</w:t>
            </w:r>
          </w:p>
        </w:tc>
      </w:tr>
      <w:tr w:rsidR="008B72C2">
        <w:tc>
          <w:tcPr>
            <w:tcW w:w="2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C (lecture)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>PEK_W01</w:t>
            </w:r>
          </w:p>
        </w:tc>
        <w:tc>
          <w:tcPr>
            <w:tcW w:w="4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 xml:space="preserve">To get credit for the lecture (pass), a student should be given more than half of the points for the theoretical exam. 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If the above is met, then the grading scale is as follows: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P - the sum of obtained points in percent.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u w:val="single"/>
                <w:lang w:val="en-US"/>
              </w:rPr>
              <w:t>Range P : Grade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100 - 91%: 5.0 (very good)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90 - 81%: 4.5 (good plus)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80 - 71%: 4.0 (good)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70 - 61%: 3.5 (</w:t>
            </w:r>
            <w:bookmarkStart w:id="12" w:name="__DdeLink__706_2609699994"/>
            <w:r>
              <w:rPr>
                <w:sz w:val="22"/>
                <w:szCs w:val="22"/>
                <w:lang w:val="en-US"/>
              </w:rPr>
              <w:t>satisfactory</w:t>
            </w:r>
            <w:bookmarkEnd w:id="12"/>
            <w:r>
              <w:rPr>
                <w:sz w:val="22"/>
                <w:szCs w:val="22"/>
                <w:lang w:val="en-US"/>
              </w:rPr>
              <w:t xml:space="preserve"> plus)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/>
              </w:rPr>
              <w:t>60 - 51%: 3.0 (satisfactory)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/>
              </w:rPr>
              <w:t>50 - 0%: 2.0 (unsatisfactory)</w:t>
            </w:r>
          </w:p>
        </w:tc>
      </w:tr>
      <w:tr w:rsidR="008B72C2">
        <w:tc>
          <w:tcPr>
            <w:tcW w:w="2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F1 (laboratory)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ind w:left="700" w:hanging="700"/>
            </w:pPr>
            <w:bookmarkStart w:id="13" w:name="__DdeLink__4166_1046509843"/>
            <w:bookmarkEnd w:id="13"/>
            <w:r>
              <w:rPr>
                <w:rFonts w:eastAsia="Times New Roman"/>
                <w:lang w:val="en-US" w:eastAsia="pl-PL"/>
              </w:rPr>
              <w:t>PEK_U01</w:t>
            </w:r>
          </w:p>
        </w:tc>
        <w:tc>
          <w:tcPr>
            <w:tcW w:w="4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Knowledge tests in the field of theoretical preparation for the laboratory and practical skills obtained at the laboratory.</w:t>
            </w:r>
          </w:p>
        </w:tc>
      </w:tr>
      <w:tr w:rsidR="008B72C2">
        <w:tc>
          <w:tcPr>
            <w:tcW w:w="2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F2 (laboratory)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>PEK_U01</w:t>
            </w:r>
          </w:p>
        </w:tc>
        <w:tc>
          <w:tcPr>
            <w:tcW w:w="4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Evaluation of the effects of the programming task.</w:t>
            </w:r>
          </w:p>
        </w:tc>
      </w:tr>
      <w:tr w:rsidR="008B72C2">
        <w:tc>
          <w:tcPr>
            <w:tcW w:w="2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lang w:val="en-US"/>
              </w:rPr>
              <w:t>C (laboratory)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8B72C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4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To get credit for the laboratory (pass), a student should be given more than half of the points possible to get on tests (F1) and for programming task (F2).</w:t>
            </w:r>
          </w:p>
          <w:p w:rsidR="008B72C2" w:rsidRDefault="008B72C2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The student’s absences may constitute the grounds for not crediting the course. The number of student's absences must not exceed the limit given by the lecturer.</w:t>
            </w:r>
          </w:p>
          <w:p w:rsidR="008B72C2" w:rsidRDefault="008B72C2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If the above are met, then the grading scale is as follows: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P = F1 + F2 - the sum of points in percent.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u w:val="single"/>
                <w:lang w:val="en-US"/>
              </w:rPr>
              <w:t>Range P : Grade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100 - 91%: 5.0 (very good)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90 - 81%: 4.5 (good plus)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80 - 71%: 4.0 (good)</w:t>
            </w:r>
          </w:p>
          <w:p w:rsidR="008B72C2" w:rsidRDefault="002F46D2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70 - 61%: 3.5 (</w:t>
            </w:r>
            <w:bookmarkStart w:id="14" w:name="__DdeLink__706_26096999941"/>
            <w:r>
              <w:rPr>
                <w:sz w:val="22"/>
                <w:szCs w:val="22"/>
                <w:lang w:val="en-US"/>
              </w:rPr>
              <w:t>satisfactory</w:t>
            </w:r>
            <w:bookmarkEnd w:id="14"/>
            <w:r>
              <w:rPr>
                <w:sz w:val="22"/>
                <w:szCs w:val="22"/>
                <w:lang w:val="en-US"/>
              </w:rPr>
              <w:t xml:space="preserve"> plus)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/>
              </w:rPr>
              <w:t>60 - 51%: 3.0 (satisfactory)</w:t>
            </w:r>
          </w:p>
          <w:p w:rsidR="008B72C2" w:rsidRDefault="002F46D2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/>
              </w:rPr>
              <w:t>50 - 0%: 2.0 (unsatisfactory)</w:t>
            </w:r>
          </w:p>
        </w:tc>
      </w:tr>
    </w:tbl>
    <w:p w:rsidR="008B72C2" w:rsidRDefault="002F46D2">
      <w:pPr>
        <w:spacing w:line="240" w:lineRule="auto"/>
        <w:rPr>
          <w:rFonts w:eastAsia="Times New Roman"/>
          <w:vanish/>
          <w:lang w:eastAsia="pl-PL"/>
        </w:rPr>
      </w:pPr>
      <w:bookmarkStart w:id="15" w:name="table0D"/>
      <w:bookmarkEnd w:id="15"/>
      <w:r>
        <w:br w:type="page"/>
      </w:r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B72C2">
        <w:trPr>
          <w:trHeight w:val="225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pageBreakBefore/>
              <w:spacing w:before="60" w:after="40" w:line="225" w:lineRule="atLeast"/>
              <w:jc w:val="center"/>
            </w:pPr>
            <w:r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8B72C2">
        <w:trPr>
          <w:trHeight w:val="285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6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8B72C2" w:rsidRDefault="002F46D2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1] Rob Barton, Gonzalo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Salgueiro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David Hanes: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IoT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Fundamentals: Networking Technologies, Protocols, and Use Cases for the Internet of Things, Cisco Press, 2017,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ISBN: 9780134307091.</w:t>
            </w:r>
          </w:p>
          <w:p w:rsidR="008B72C2" w:rsidRDefault="002F46D2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[2] Perry Lea: Internet of Things for Architects,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Packt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Publishing, 2018,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ISBN: 9781788470599.</w:t>
            </w:r>
          </w:p>
          <w:p w:rsidR="008B72C2" w:rsidRDefault="002F46D2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[3] Arvind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Ravulavaru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: Enterprise Internet of Things Handbook,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Packt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Publishing, 2018,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ISBN: 9781788838399.</w:t>
            </w:r>
          </w:p>
          <w:p w:rsidR="008B72C2" w:rsidRDefault="002F46D2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[4] Andrew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Minteer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>: Analytics for the Internet of Things (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IoT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),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Packt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Publishing, 2017,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ISBN: 9781787120730.</w:t>
            </w:r>
          </w:p>
          <w:p w:rsidR="008B72C2" w:rsidRDefault="002F46D2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[5]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Agus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Kurniawan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: Smart Internet of Things Projects,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Packt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Publishing, 2016,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ISBN: 9781786466518.</w:t>
            </w:r>
          </w:p>
          <w:p w:rsidR="008B72C2" w:rsidRDefault="002F46D2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[6] Amir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Vahid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Dastjerdi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Rajkumar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Buyya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: Internet of Things, Morgan Kaufmann, 2016,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ISBN: 9780128093474.</w:t>
            </w:r>
          </w:p>
          <w:p w:rsidR="008B72C2" w:rsidRDefault="002F46D2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[7] Elliot Williams: Make: AVR Programming, Maker Media,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Inc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2014,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ISBN: 9781449355784,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 xml:space="preserve">in Polish: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Programowanie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układów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AVR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dla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praktyków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Helion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2014,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ISBN: 97888324695010.</w:t>
            </w:r>
          </w:p>
          <w:p w:rsidR="008B72C2" w:rsidRDefault="002F46D2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[8] Tomasz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Francuz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: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Język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C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dla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mikrokontrolerów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AVR,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Helion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>, 2015,  (in Polish)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ISBN: 9788324698141.</w:t>
            </w:r>
          </w:p>
          <w:p w:rsidR="008B72C2" w:rsidRDefault="002F46D2">
            <w:pPr>
              <w:spacing w:after="6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8B72C2" w:rsidRDefault="002F46D2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[1] Technical documentation of devices and microcontrollers used in the course on the websites of producers and distributors.</w:t>
            </w:r>
          </w:p>
        </w:tc>
      </w:tr>
      <w:tr w:rsidR="008B72C2">
        <w:trPr>
          <w:trHeight w:val="21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8B72C2">
        <w:trPr>
          <w:trHeight w:hRule="exact" w:val="30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" w:type="dxa"/>
            </w:tcMar>
          </w:tcPr>
          <w:p w:rsidR="008B72C2" w:rsidRDefault="002F46D2">
            <w:pPr>
              <w:snapToGrid w:val="0"/>
              <w:spacing w:after="0" w:line="240" w:lineRule="auto"/>
              <w:ind w:left="360"/>
            </w:pPr>
            <w:r>
              <w:rPr>
                <w:rFonts w:eastAsia="Times New Roman"/>
                <w:lang w:val="en-US" w:eastAsia="pl-PL"/>
              </w:rPr>
              <w:t xml:space="preserve">Krzysztof </w:t>
            </w:r>
            <w:proofErr w:type="spellStart"/>
            <w:r>
              <w:rPr>
                <w:rFonts w:eastAsia="Times New Roman"/>
                <w:lang w:val="en-US" w:eastAsia="pl-PL"/>
              </w:rPr>
              <w:t>Chudzik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, </w:t>
            </w:r>
            <w:proofErr w:type="spellStart"/>
            <w:r>
              <w:rPr>
                <w:rFonts w:eastAsia="Times New Roman"/>
                <w:lang w:val="en-US" w:eastAsia="pl-PL"/>
              </w:rPr>
              <w:t>Krzysztof.Chudzik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@ pwr.edu.pl</w:t>
            </w:r>
          </w:p>
        </w:tc>
      </w:tr>
    </w:tbl>
    <w:p w:rsidR="008B72C2" w:rsidRDefault="008B72C2">
      <w:pPr>
        <w:spacing w:after="0" w:line="240" w:lineRule="auto"/>
        <w:rPr>
          <w:rFonts w:eastAsia="Times New Roman"/>
          <w:lang w:val="en-US" w:eastAsia="pl-PL"/>
        </w:rPr>
      </w:pPr>
    </w:p>
    <w:p w:rsidR="008B72C2" w:rsidRDefault="008B72C2">
      <w:pPr>
        <w:spacing w:after="0" w:line="240" w:lineRule="auto"/>
        <w:rPr>
          <w:rFonts w:eastAsia="Times New Roman"/>
          <w:lang w:val="en-US" w:eastAsia="pl-PL"/>
        </w:rPr>
      </w:pPr>
    </w:p>
    <w:p w:rsidR="008B72C2" w:rsidRDefault="002F46D2">
      <w:pPr>
        <w:spacing w:after="0" w:line="240" w:lineRule="auto"/>
      </w:pPr>
      <w:r>
        <w:rPr>
          <w:rFonts w:eastAsia="Times New Roman"/>
          <w:lang w:val="en-US" w:eastAsia="pl-PL"/>
        </w:rPr>
        <w:t>*delete if not necessary</w:t>
      </w:r>
    </w:p>
    <w:sectPr w:rsidR="008B72C2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C2"/>
    <w:rsid w:val="000F3B12"/>
    <w:rsid w:val="00176ECE"/>
    <w:rsid w:val="002F46D2"/>
    <w:rsid w:val="008B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color w:val="00000A"/>
      <w:sz w:val="24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51CD3"/>
    <w:rPr>
      <w:rFonts w:eastAsia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qFormat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qFormat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E023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NormalnyWeb">
    <w:name w:val="Normal (Web)"/>
    <w:basedOn w:val="Normalny"/>
    <w:uiPriority w:val="99"/>
    <w:semiHidden/>
    <w:unhideWhenUsed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qFormat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qFormat/>
  </w:style>
  <w:style w:type="paragraph" w:customStyle="1" w:styleId="TableHeading">
    <w:name w:val="Table Heading"/>
    <w:basedOn w:val="TableContents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color w:val="00000A"/>
      <w:sz w:val="24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51CD3"/>
    <w:rPr>
      <w:rFonts w:eastAsia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qFormat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qFormat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E023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NormalnyWeb">
    <w:name w:val="Normal (Web)"/>
    <w:basedOn w:val="Normalny"/>
    <w:uiPriority w:val="99"/>
    <w:semiHidden/>
    <w:unhideWhenUsed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qFormat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qFormat/>
  </w:style>
  <w:style w:type="paragraph" w:customStyle="1" w:styleId="TableHeading">
    <w:name w:val="Table Heading"/>
    <w:basedOn w:val="TableContent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1141</Words>
  <Characters>6847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4</cp:revision>
  <cp:lastPrinted>2019-01-18T07:41:00Z</cp:lastPrinted>
  <dcterms:created xsi:type="dcterms:W3CDTF">2019-05-13T07:29:00Z</dcterms:created>
  <dcterms:modified xsi:type="dcterms:W3CDTF">2019-12-05T08:03:00Z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